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KraftstoffLBV — Grundmenge für Kraftfahrzeuge</w:t>
      </w:r>
    </w:p>
    <w:p>
      <w:r>
        <w:rPr>
          <w:color w:val="555555"/>
          <w:sz w:val="18"/>
        </w:rPr>
        <w:t xml:space="preserve">Kraftstoff-Lieferbeschränkungs-Verordnung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Verordnung kann für Kraftfahrzeuge je Versorgungsperiode eine Grundmenge an Benzin und Dieselkraftstoff festgelegt werden, für die Bezugscheine unabhängig vom tatsächlichen Bedarf ausgegeben werden.</w:t>
      </w:r>
    </w:p>
    <w:p>
      <w:r>
        <w:t xml:space="preserve">(2) Durch Verordnung kann bestimmt werden, daß die Grundmengen auf den Bedarf für die in § 4 Abs. 1 bezeichneten Zwecke anzurechnen sind.</w:t>
      </w:r>
    </w:p>
    <w:p>
      <w:r>
        <w:rPr>
          <w:color w:val="555555"/>
          <w:sz w:val="17"/>
        </w:rPr>
        <w:t xml:space="preserve">Zitiervorschlag: § 12 KraftstoffLBV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https://recht.nulegal.eu/gesetze/KraftstoffLBV/12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