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KraftfAusbV 2001 — Zwischenprüfung</w:t>
      </w:r>
    </w:p>
    <w:p>
      <w:r>
        <w:rPr>
          <w:color w:val="555555"/>
          <w:sz w:val="18"/>
        </w:rPr>
        <w:t xml:space="preserve">Berufskraftfahrer-Ausbildungsverordnung</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zu dieser Verordnung für die ersten 18 Monate aufgeführten Fertigkeiten und Kenntnisse sowie auf den im Berufsschulunterricht entsprechend dem Rahmenlehrplan zu vermittelnden Lehrstoff, soweit er für die Berufsausbildung wesentlich ist.</w:t>
      </w:r>
    </w:p>
    <w:p>
      <w:r>
        <w:t xml:space="preserve">(3) Der Prüfling soll in höchstens drei Stunden vier praktische Aufgaben ausführen. Dabei soll der Prüfling zeigen, dass er die Arbeitsschritte selbständig planen sowie Maßnahmen zum Umweltschutz, zur Sicherheit und zum Gesundheitsschutz bei der Arbeit und zur Wirtschaftlichkeit ergreifen kann. Für die praktischen Aufgaben kommen insbesondere in Betracht:</w:t>
      </w:r>
    </w:p>
    <w:p>
      <w:pPr>
        <w:ind w:left="420"/>
      </w:pPr>
      <w:r>
        <w:t xml:space="preserve">1. Kontrollieren, Warten und Pflegen der Fahrzeuge,</w:t>
      </w:r>
    </w:p>
    <w:p>
      <w:pPr>
        <w:ind w:left="420"/>
      </w:pPr>
      <w:r>
        <w:t xml:space="preserve">2. Verhalten nach Unfällen und Zwischenfällen,</w:t>
      </w:r>
    </w:p>
    <w:p>
      <w:pPr>
        <w:ind w:left="420"/>
      </w:pPr>
      <w:r>
        <w:t xml:space="preserve">3. Erstellen einer Fahrtenroute,</w:t>
      </w:r>
    </w:p>
    <w:p>
      <w:pPr>
        <w:ind w:left="420"/>
      </w:pPr>
      <w:r>
        <w:t xml:space="preserve">4. beförderungsbezogene Kostenrechnung und Vertragsabwicklung.</w:t>
      </w:r>
    </w:p>
    <w:p>
      <w:r>
        <w:rPr>
          <w:color w:val="555555"/>
          <w:sz w:val="17"/>
        </w:rPr>
        <w:t xml:space="preserve">Zitiervorschlag: § 7 KraftfAusbV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https://recht.nulegal.eu/gesetze/KraftfAusbV%202001/7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