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KraftfAusbV 2001 — Staatliche Anerkennung des Ausbildungsberufes</w:t>
      </w:r>
    </w:p>
    <w:p>
      <w:r>
        <w:rPr>
          <w:color w:val="555555"/>
          <w:sz w:val="18"/>
        </w:rPr>
        <w:t xml:space="preserve">Berufskraftfahrer-Ausbildungsverordnung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Berufskraftfahrer/Berufskraftfahrerin wird staatlich anerkannt.</w:t>
      </w:r>
    </w:p>
    <w:p>
      <w:r>
        <w:rPr>
          <w:color w:val="555555"/>
          <w:sz w:val="17"/>
        </w:rPr>
        <w:t xml:space="preserve">Zitiervorschlag: § 1 KraftfAusbV 2001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https://recht.nulegal.eu/gesetze/KraftfAusbV%202001/1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KraftfAusbV 2001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