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KraftStKompG — Zahlungsverkehr</w:t>
      </w:r>
    </w:p>
    <w:p>
      <w:r>
        <w:rPr>
          <w:color w:val="555555"/>
          <w:sz w:val="18"/>
        </w:rPr>
        <w:t xml:space="preserve">Gesetz zur Regelung der finanziellen Kompensation zugunsten der Länder infolge der Übertragung der Ertragshoheit der Kraftfahrzeugsteuer auf den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1 in Verbindung mit § 2 festgelegten jeweiligen Jahresbeträge werden den Ländern zu jeweils einem Viertel am 15. Februar, 15. Mai, 15. August und 15. November überwiesen; für 2009 wird den Ländern jeweils die Hälfte des jeweiligen Jahresbetrages am 15. August und 15. November überwiesen.</w:t>
      </w:r>
    </w:p>
    <w:p>
      <w:r>
        <w:rPr>
          <w:color w:val="555555"/>
          <w:sz w:val="17"/>
        </w:rPr>
        <w:t xml:space="preserve">Zitiervorschlag: § 3 KraftStKompG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https://recht.nulegal.eu/gesetze/KraftStKompG/3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