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9a KraftStG — Zuschlag für Personenkraftwagen mit Selbstzündungsmotor</w:t>
      </w:r>
    </w:p>
    <w:p>
      <w:r>
        <w:rPr>
          <w:color w:val="555555"/>
          <w:sz w:val="18"/>
        </w:rPr>
        <w:t xml:space="preserve">Kraftfahrzeugsteuergesetz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Personenkraftwagen mit Selbstzündungsmotor erhöht sich in der Zeit vom 1. April 2007 bis zum 31. März 2011 der jeweilige Steuersatz nach § 9 Abs. 1 Nr. 2 um 1,20 Euro je 100 Kubikzentimeter oder einen Teil davon, wenn das Fahrzeug nicht einer der Partikelminderungsstufen PM 01 und PM 0 bis PM 5 oder einer der Partikelminderungsklassen PMK 01 und PMK 0 bis PMK 4 nach der Straßenverkehrs-Zulassungs-Ordnung entspricht.</w:t>
      </w:r>
    </w:p>
    <w:p>
      <w:r>
        <w:t xml:space="preserve">(2) Der Zuschlag gilt nicht für Kennzeichen im Sinne des § 1 Abs. 1 Nr. 4 Satz 1.</w:t>
      </w:r>
    </w:p>
    <w:p>
      <w:r>
        <w:rPr>
          <w:color w:val="555555"/>
          <w:sz w:val="17"/>
        </w:rPr>
        <w:t xml:space="preserve">Zitiervorschlag: § 9a KraftStG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https://recht.nulegal.eu/gesetze/KraftStG/9a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