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KraftStG — Bemessungsgrundlage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bemisst sich</w:t>
      </w:r>
    </w:p>
    <w:p>
      <w:pPr>
        <w:ind w:left="420"/>
      </w:pPr>
      <w:r>
        <w:t xml:space="preserve">1. bei Fahrzeugen der Klasse M1 ohne besondere Zweckbestimmung als Wohnmobil oder Kranken- und Leichenwagen (Personenkraftwagen)</w:t>
      </w:r>
    </w:p>
    <w:p>
      <w:pPr>
        <w:ind w:left="780"/>
      </w:pPr>
      <w:r>
        <w:t xml:space="preserve">a) mit erstmaliger Zulassung bis zum 30. Juni 2009 und bei Krafträdern nach dem Hubraum, soweit diese Fahrzeuge durch Hubkolbenmotoren angetrieben werden, bei Personenkraftwagen mit Hubkolbenmotoren zusätzlich nach den Schadstoff- und Kohlendioxidemissionen;</w:t>
      </w:r>
    </w:p>
    <w:p>
      <w:pPr>
        <w:ind w:left="780"/>
      </w:pPr>
      <w:r>
        <w:t xml:space="preserve">b) mit erstmaliger Zulassung ab dem 1. Juli 2009, soweit es sich nicht um Fahrzeuge im Sinne des § 9 Absatz 2 handelt, nach den Kohlendioxidemissionen und dem Hubraum;</w:t>
      </w:r>
    </w:p>
    <w:p>
      <w:pPr>
        <w:ind w:left="420"/>
      </w:pPr>
      <w:r>
        <w:t xml:space="preserve">1a. bei Wohnmobilen nach dem verkehrsrechtlich zulässigen Gesamtgewicht und zusätzlich nach den Schadstoffemissionen;</w:t>
      </w:r>
    </w:p>
    <w:p>
      <w:pPr>
        <w:ind w:left="420"/>
      </w:pPr>
      <w:r>
        <w:t xml:space="preserve">1b. bei dreirädrigen und leichten vierrädrigen Kraftfahrzeugen mit Hubkolbenmotoren, die unter den Anwendungsbereich der Richtlinie 97/24/EG des Europäischen Parlaments und des Rates vom 17. Juni 1997 über bestimmte Bauteile und Merkmale von zweirädrigen oder dreirädrigen Kraftfahrzeugen (ABl. L 226 vom 18.8.1997, S. 1, L 65 vom 5.3.1998, S. 35, L 244 vom 3.9.1998, S. 20, L 67 vom 11.3.2008, S. 22), die zuletzt durch die Richtlinie 2009/108/EG der Kommission vom 17. August 2009 (ABl. L 213 vom 18.8.2009, S. 10) geändert worden ist, in der jeweils geltenden Fassung fallen, nach dem Hubraum und den Schadstoffemissionen;</w:t>
      </w:r>
    </w:p>
    <w:p>
      <w:pPr>
        <w:ind w:left="420"/>
      </w:pPr>
      <w:r>
        <w:t xml:space="preserve">2. bei anderen Fahrzeugen, Kranken- und Leichenwagen nach dem verkehrsrechtlich zulässigen Gesamtgewicht, bei Kraftfahrzeugen mit einem verkehrsrechtlich zulässigen Gesamtgewicht über 3 500 Kilogramm zusätzlich nach Schadstoff- und Geräuschemissionen. Das verkehrsrechtlich zulässige Gesamtgewicht ist bei Sattelanhängern um die Aufliegelast und bei Starrdeichselanhängern einschließlich Zentralachsanhängern um die Stützlast zu vermindern.</w:t>
      </w:r>
    </w:p>
    <w:p>
      <w:r>
        <w:rPr>
          <w:color w:val="555555"/>
          <w:sz w:val="17"/>
        </w:rPr>
        <w:t xml:space="preserve">Zitiervorschlag: § 8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