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KraftStG — Steuerschuldner</w:t>
      </w:r>
    </w:p>
    <w:p>
      <w:r>
        <w:rPr>
          <w:color w:val="555555"/>
          <w:sz w:val="18"/>
        </w:rPr>
        <w:t xml:space="preserve">Kraftfahrzeugsteuergesetz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Steuerschuldner ist</w:t>
      </w:r>
    </w:p>
    <w:p>
      <w:pPr>
        <w:ind w:left="420"/>
      </w:pPr>
      <w:r>
        <w:t xml:space="preserve">1. bei einem inländischen Fahrzeug die Person, für die das Fahrzeug zum Verkehr zugelassen ist,</w:t>
      </w:r>
    </w:p>
    <w:p>
      <w:pPr>
        <w:ind w:left="420"/>
      </w:pPr>
      <w:r>
        <w:t xml:space="preserve">2. bei einem ausländischen Fahrzeug die Person, die das Fahrzeug im Inland benutzt,</w:t>
      </w:r>
    </w:p>
    <w:p>
      <w:pPr>
        <w:ind w:left="420"/>
      </w:pPr>
      <w:r>
        <w:t xml:space="preserve">3. bei einem widerrechtlich benutzten Fahrzeug die Person, die das Fahrzeug widerrechtlich benutzt,</w:t>
      </w:r>
    </w:p>
    <w:p>
      <w:pPr>
        <w:ind w:left="420"/>
      </w:pPr>
      <w:r>
        <w:t xml:space="preserve">4. bei einem Kennzeichen im Sinne des § 1 Abs. 1 Nr. 4 die Person, der das Kennzeichen zugeteilt ist.</w:t>
      </w:r>
    </w:p>
    <w:p>
      <w:r>
        <w:rPr>
          <w:color w:val="555555"/>
          <w:sz w:val="17"/>
        </w:rPr>
        <w:t xml:space="preserve">Zitiervorschlag: § 7 KraftStG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