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 KraftStG — Ermächtigungen</w:t>
      </w:r>
    </w:p>
    <w:p>
      <w:r>
        <w:rPr>
          <w:color w:val="555555"/>
          <w:sz w:val="18"/>
        </w:rPr>
        <w:t xml:space="preserve">Kraftfahrzeugsteuergesetz 2002</w:t>
      </w:r>
    </w:p>
    <w:p>
      <w:r>
        <w:rPr>
          <w:color w:val="555555"/>
          <w:sz w:val="18"/>
        </w:rPr>
        <w:t xml:space="preserve">Stand: 23.10.2020 (konsolidierte Textfassung, kein amtliches Inkrafttretensdatum)</w:t>
      </w:r>
    </w:p>
    <w:p>
      <w:r>
        <w:t xml:space="preserve">(1) Das Bundesministerium der Finanzen wird ermächtigt, Rechtsverordnungen zu erlassen über</w:t>
      </w:r>
    </w:p>
    <w:p>
      <w:pPr>
        <w:ind w:left="420"/>
      </w:pPr>
      <w:r>
        <w:t xml:space="preserve">1. die nähere Bestimmung der in diesem Gesetz verwendeten Begriffe,</w:t>
      </w:r>
    </w:p>
    <w:p>
      <w:pPr>
        <w:ind w:left="420"/>
      </w:pPr>
      <w:r>
        <w:t xml:space="preserve">2. die Abgrenzung der Steuerpflicht sowie den Umfang der Ausnahmen von der Besteuerung und der Steuerermäßigungen, soweit dies zur Wahrung der Gleichmäßigkeit der Besteuerung und zur Beseitigung von Unbilligkeiten in Härtefällen erforderlich ist,</w:t>
      </w:r>
    </w:p>
    <w:p>
      <w:pPr>
        <w:ind w:left="420"/>
      </w:pPr>
      <w:r>
        <w:t xml:space="preserve">3. die Zuständigkeit der für die Ausübung der Verwaltung der Kraftfahrzeugsteuer zuständigen Behörden und den Umfang der Besteuerungsgrundlagen,</w:t>
      </w:r>
    </w:p>
    <w:p>
      <w:pPr>
        <w:ind w:left="420"/>
      </w:pPr>
      <w:r>
        <w:t xml:space="preserve">4. das Besteuerungsverfahren, insbesondere die Berechnung der Steuer und die Änderung von Steuerfestsetzungen, sowie die von den Steuerpflichtigen zu erfüllenden Pflichten und die Mitwirkungspflicht Dritter,</w:t>
      </w:r>
    </w:p>
    <w:p>
      <w:pPr>
        <w:ind w:left="420"/>
      </w:pPr>
      <w:r>
        <w:t xml:space="preserve">5. Art und Zeit der Steuerentrichtung. Dabei darf abweichend von § 11 Abs. 1 und 2 bestimmt werden, dass die Steuer auch tageweise entrichtet werden darf, soweit hierdurch ein Fahrzeughalter mit mehreren Fahrzeugen für seine sämtlichen Fahrzeuge einen einheitlichen Fälligkeitstag erreichen will,</w:t>
      </w:r>
    </w:p>
    <w:p>
      <w:pPr>
        <w:ind w:left="420"/>
      </w:pPr>
      <w:r>
        <w:t xml:space="preserve">6. die Erstattung der Steuer,</w:t>
      </w:r>
    </w:p>
    <w:p>
      <w:pPr>
        <w:ind w:left="420"/>
      </w:pPr>
      <w:r>
        <w:t xml:space="preserve">7. die völlige oder teilweise Befreiung von der Steuer für das Halten von ausländischen Fahrzeugen, die vorübergehend im Inland benutzt werden. Voraussetzung ist, dass Gegenseitigkeit gewahrt ist und die Befreiung dazu dient, eine Doppelbesteuerung zu vermeiden, den grenzüberschreitenden Verkehr zu erleichtern oder die Wettbewerbsbedingungen für inländische Fahrzeuge zu verbessern,</w:t>
      </w:r>
    </w:p>
    <w:p>
      <w:pPr>
        <w:ind w:left="420"/>
      </w:pPr>
      <w:r>
        <w:t xml:space="preserve">8. eine befristete oder unbefristete Erhöhung der nach § 9 Abs. 3 anzuwendenden Steuersätze für bestimmte ausländische Fahrzeuge, um diese Fahrzeuge einer Steuerbelastung zu unterwerfen, die der Belastung inländischer Fahrzeuge bei vorübergehendem Aufenthalt im Heimatstaat der ausländischen Fahrzeuge mit Abgaben entspricht, die für die Benutzung von Fahrzeugen, die Benutzung von öffentlichen Straßen oder das Halten zum Verkehr auf öffentlichen Straßen erhoben werden,</w:t>
      </w:r>
    </w:p>
    <w:p>
      <w:pPr>
        <w:ind w:left="420"/>
      </w:pPr>
      <w:r>
        <w:t xml:space="preserve">9. eine besondere Kennzeichnung der Kraftfahrzeuge, für die nach § 10 Abs. 2 eine um den Anhängerzuschlag erhöhte Steuer erhoben wird.</w:t>
      </w:r>
    </w:p>
    <w:p>
      <w:r>
        <w:t xml:space="preserve">(2) Das Bundesministerium der Finanzen wird ermächtigt, den Wortlaut dieses Gesetzes und der zu diesem Gesetz erlassenen Durchführungsverordnung in der jeweils geltenden Fassung mit neuem Datum, unter neuer Überschrift und in neuer Paragraphenfolge bekannt zu machen. Dabei dürfen Unstimmigkeiten des Wortlauts beseitigt und die in der Durchführungsverordnung vorgesehenen Vordruckmuster geändert werden.</w:t>
      </w:r>
    </w:p>
    <w:p>
      <w:r>
        <w:rPr>
          <w:color w:val="555555"/>
          <w:sz w:val="17"/>
        </w:rPr>
        <w:t xml:space="preserve">Zitiervorschlag: § 15 KraftStG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https://recht.nulegal.eu/gesetze/KraftStG/15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