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KraftStG — Außerbetriebsetzung von Amts wegen</w:t>
      </w:r>
    </w:p>
    <w:p>
      <w:r>
        <w:rPr>
          <w:color w:val="555555"/>
          <w:sz w:val="18"/>
        </w:rPr>
        <w:t xml:space="preserve">Kraftfahrzeugsteuergesetz 2002</w:t>
      </w:r>
    </w:p>
    <w:p>
      <w:r>
        <w:rPr>
          <w:color w:val="555555"/>
          <w:sz w:val="18"/>
        </w:rPr>
        <w:t xml:space="preserve">Stand: 23.10.2020 (konsolidierte Textfassung, kein amtliches Inkrafttretensdatum)</w:t>
      </w:r>
    </w:p>
    <w:p>
      <w:r>
        <w:t xml:space="preserve">(1) Ist die Steuer nicht entrichtet worden, hat die Zulassungsbehörde auf Antrag der für die Ausübung der Verwaltung der Kraftfahrzeugsteuer zuständigen Behörde die Zulassungsbescheinigung Teil I einzuziehen, etwa ausgestellte Anhängerverzeichnisse zu berichtigen und das amtliche Kennzeichen zu entstempeln (Außerbetriebsetzung von Amts wegen). Sie trifft die hierzu erforderlichen Anordnungen durch schriftlichen Verwaltungsakt.</w:t>
      </w:r>
    </w:p>
    <w:p>
      <w:r>
        <w:t xml:space="preserve">(2) Die Durchführung der Außerbetriebsetzung von Amts wegen richtet sich nach dem Verwaltungsverfahrensgesetz. Für Streitigkeiten über Außerbetriebsetzungen von Amts wegen ist der Verwaltungsrechtsweg gegeben.</w:t>
      </w:r>
    </w:p>
    <w:p>
      <w:r>
        <w:rPr>
          <w:color w:val="555555"/>
          <w:sz w:val="17"/>
        </w:rPr>
        <w:t xml:space="preserve">Zitiervorschlag: § 14 KraftStG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