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KraftStG — Entrichtungszeiträume</w:t>
      </w:r>
    </w:p>
    <w:p>
      <w:r>
        <w:rPr>
          <w:color w:val="555555"/>
          <w:sz w:val="18"/>
        </w:rPr>
        <w:t xml:space="preserve">Kraftfahrzeugsteuergesetz 2002</w:t>
      </w:r>
    </w:p>
    <w:p>
      <w:r>
        <w:rPr>
          <w:color w:val="555555"/>
          <w:sz w:val="18"/>
        </w:rPr>
        <w:t xml:space="preserve">Stand: 10.06.2019 (konsolidierte Textfassung, kein amtliches Inkrafttretensdatum)</w:t>
      </w:r>
    </w:p>
    <w:p>
      <w:r>
        <w:t xml:space="preserve">(1) Die Steuer ist jeweils für die Dauer eines Jahres im Voraus zu entrichten.</w:t>
      </w:r>
    </w:p>
    <w:p>
      <w:r>
        <w:t xml:space="preserve">(2) Die Steuer darf, wenn die Jahressteuer mehr als 500 Euro beträgt, auch für die Dauer eines Halbjahres und, wenn die Jahressteuer mehr als 1 000 Euro beträgt, auch für die Dauer eines Vierteljahres entrichtet werden. In diesen Fällen beträgt die Steuer</w:t>
      </w:r>
    </w:p>
    <w:p>
      <w:pPr>
        <w:ind w:left="420"/>
      </w:pPr>
      <w:r>
        <w:t xml:space="preserve">1. wenn sie halbjährlich entrichtet wird, die Hälfte der Jahressteuer zuzüglich eines Aufgeldes in Höhe von 3 vom Hundert,</w:t>
      </w:r>
    </w:p>
    <w:p>
      <w:pPr>
        <w:ind w:left="420"/>
      </w:pPr>
      <w:r>
        <w:t xml:space="preserve">2. wenn sie vierteljährlich entrichtet wird, ein Viertel der Jahressteuer zuzüglich eines Aufgeldes in Höhe von 6 vom Hundert.</w:t>
      </w:r>
    </w:p>
    <w:p>
      <w:r>
        <w:t xml:space="preserve">Ein Wechsel des Entrichtungszeitraums ist nur zulässig, wenn die Änderung vor oder spätestens mit der Fälligkeit der neu zu entrichtenden Steuer schriftlich angezeigt wird.</w:t>
      </w:r>
    </w:p>
    <w:p>
      <w:r>
        <w:t xml:space="preserve">(3) Die Steuer ist bei ausländischen Fahrzeugen, die zum vorübergehenden Aufenthalt in das Inland gelangen, tageweise zu entrichten. Die Tage des Aufenthalts im Inland brauchen nicht unmittelbar aufeinander zu folgen.</w:t>
      </w:r>
    </w:p>
    <w:p>
      <w:r>
        <w:t xml:space="preserve">(4) Die Steuer ist abweichend von den Absätzen 1 und 2 für einen nach Tagen berechneten Zeitraum im Voraus zu entrichten,</w:t>
      </w:r>
    </w:p>
    <w:p>
      <w:pPr>
        <w:ind w:left="780"/>
      </w:pPr>
      <w:r>
        <w:t xml:space="preserve">a) mit Einwilligung oder auf schriftlichen Antrag eines Steuerschuldners, wenn dieser die Steuer für mehr als ein Fahrzeug schuldet und wenn durch die tageweise Entrichtung für mindestens zwei Fahrzeuge ein einheitlicher Fälligkeitstag erreicht wird,</w:t>
      </w:r>
    </w:p>
    <w:p>
      <w:pPr>
        <w:ind w:left="780"/>
      </w:pPr>
      <w:r>
        <w:t xml:space="preserve">b) auf Anordnung der für die Ausübung der Verwaltung der Kraftfahrzeugsteuer zuständigen Behörde für längstens einen Monat, wenn hierdurch für bestimmte Gruppen von Fahrzeugen ein einheitlicher Fälligkeitstermin erreicht wird und diese Maßnahme der Vereinfachung der Verwaltung dient;</w:t>
      </w:r>
    </w:p>
    <w:p>
      <w:pPr>
        <w:ind w:left="420"/>
      </w:pPr>
      <w:r>
        <w:t xml:space="preserve">2. wenn die Steuerpflicht für eine bestimmte Zeit besteht,</w:t>
      </w:r>
    </w:p>
    <w:p>
      <w:pPr>
        <w:ind w:left="420"/>
      </w:pPr>
      <w:r>
        <w:t xml:space="preserve">3. wenn ein Saisonkennzeichen zugeteilt wird; für Fahrzeuge mit Saisonkennzeichen ist die Festlegung eines einheitlichen Fälligkeitstages nicht zulässig.</w:t>
      </w:r>
    </w:p>
    <w:p>
      <w:r>
        <w:t xml:space="preserve">Die Steuer beträgt in diesen Fällen für jeden Tag des Berechnungszeitraums den auf ihn entfallenden Bruchteil der Jahressteuer. Fällt ein Tag des Berechnungszeitraums in ein Schaltjahr, so beträgt die Steuer für jeden Tag ein Dreihundertsechsundsechzigstel der Jahressteuer. In den Fällen des Satzes 1 Nr. 3 beträgt die Steuer für jeden Tag des Berechnungszeitraumes ein Dreihundertfünfundsechzigstel der Jahressteuer; der 29. Februar wird in Schaltjahren nicht mitgerechnet.</w:t>
      </w:r>
    </w:p>
    <w:p>
      <w:r>
        <w:t xml:space="preserve">(5) Die zu entrichtende Steuer ist in den Fällen der Absätze 1 bis 4 auf volle Euro nach unten abzurunden.</w:t>
      </w:r>
    </w:p>
    <w:p>
      <w:r>
        <w:rPr>
          <w:color w:val="555555"/>
          <w:sz w:val="17"/>
        </w:rPr>
        <w:t xml:space="preserve">Zitiervorschlag: § 11 KraftStG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https://recht.nulegal.eu/gesetze/KraftStG/11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