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KraftStG — Sonderregelung für Kraftfahrzeuganhänger</w:t>
      </w:r>
    </w:p>
    <w:p>
      <w:r>
        <w:rPr>
          <w:color w:val="555555"/>
          <w:sz w:val="18"/>
        </w:rPr>
        <w:t xml:space="preserve">Kraftfahrzeugsteuergesetz 2002</w:t>
      </w:r>
    </w:p>
    <w:p>
      <w:r>
        <w:rPr>
          <w:color w:val="555555"/>
          <w:sz w:val="18"/>
        </w:rPr>
        <w:t xml:space="preserve">Stand: 10.06.2019 (konsolidierte Textfassung, kein amtliches Inkrafttretensdatum)</w:t>
      </w:r>
    </w:p>
    <w:p>
      <w:r>
        <w:t xml:space="preserve">(1) Auf schriftlichen Antrag wird die Steuer für das Halten von Kraftfahrzeuganhängern mit Ausnahme von Wohnwagenanhängern nicht erhoben, solange die Anhänger ausschließlich hinter Kraftfahrzeugen (ausgenommen Krafträder und Personenkraftwagen) mitgeführt werden, für die eine um den Anhängerzuschlag erhöhte Steuer erhoben wird oder die ausschließlich zur Zustellung oder Abholung nach § 3 Nr. 9 verwendet werden. Voraussetzung für die Steuervergünstigung ist außerdem, dass den Anhängern ein amtliches Kennzeichen in grüner Schrift auf weißem Grund zugeteilt worden ist.</w:t>
      </w:r>
    </w:p>
    <w:p>
      <w:r>
        <w:t xml:space="preserve">(2) Die um den Anhängerzuschlag erhöhte Steuer wird auf schriftlichen Antrag des Eigentümers des Kraftfahrzeugs oder, im Falle einer Zulassung für einen anderen, des Halters erhoben, wenn hinter dem Kraftfahrzeug Anhänger mitgeführt werden sollen, für die nach Absatz 1 Steuer nicht erhoben wird. Dies gilt auch, wenn das Halten des Kraftfahrzeugs von der Steuer befreit ist, es sei denn, dass es ausschließlich zur Zustellung oder Abholung nach § 3 Nr. 9 verwendet wird.</w:t>
      </w:r>
    </w:p>
    <w:p>
      <w:r>
        <w:t xml:space="preserve">(3) Der Anhängerzuschlag für die Dauer eines Jahres beträgt 373,24 Euro.</w:t>
      </w:r>
    </w:p>
    <w:p>
      <w:r>
        <w:t xml:space="preserve">(4) Wird ein inländischer Kraftfahrzeuganhänger, bei dem nach Absatz 1 die Steuer nicht erhoben wird, hinter anderen als den nach Absatz 1 zulässigen Kraftfahrzeugen verwendet, so ist die Steuer zu entrichten, solange die bezeichnete Verwendung dauert, mindestens jedoch für einen Monat.</w:t>
      </w:r>
    </w:p>
    <w:p>
      <w:r>
        <w:rPr>
          <w:color w:val="555555"/>
          <w:sz w:val="17"/>
        </w:rPr>
        <w:t xml:space="preserve">Zitiervorschlag: § 10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