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KraftStDV 2017</w:t>
      </w:r>
    </w:p>
    <w:p>
      <w:r>
        <w:rPr>
          <w:color w:val="555555"/>
          <w:sz w:val="18"/>
        </w:rPr>
        <w:t xml:space="preserve">Kraftfahrzeugsteuer-Durchführungsverordnung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15 Absatz 1 des Kraftfahrzeugsteuergesetzes, der zuletzt durch Artikel 1 Nummer 11 Buchstabe a des Gesetzes vom 8. Juni 2015 (BGBl. I S. 901) geändert worden ist, sowie des § 150 Absatz 6 der Abgabenordnung, der zuletzt durch Artikel 1 Nummer 24 Buchstabe d des Gesetzes vom 18. Juli 2016 (BGBl. I S. 1679) geändert worden ist, verordnet das Bundesministerium der Finanzen:</w:t>
      </w:r>
    </w:p>
    <w:p>
      <w:r>
        <w:rPr>
          <w:color w:val="555555"/>
          <w:sz w:val="17"/>
        </w:rPr>
        <w:t xml:space="preserve">Zitiervorschlag: Eingangsformel KraftStDV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https://recht.nulegal.eu/gesetze/KraftStDV%202017/eingangsformel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