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KraftStDV 2017 — Grundsatz</w:t>
      </w:r>
    </w:p>
    <w:p>
      <w:r>
        <w:rPr>
          <w:color w:val="555555"/>
          <w:sz w:val="18"/>
        </w:rPr>
        <w:t xml:space="preserve">Kraftfahrzeugsteuer-Durchführungsverordnung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ausländische Fahrzeuge gelten, soweit in den §§ 10 bis 14 nichts anderes bestimmt ist, die §§ 3 bis 7 entsprechend.</w:t>
      </w:r>
    </w:p>
    <w:p>
      <w:r>
        <w:rPr>
          <w:color w:val="555555"/>
          <w:sz w:val="17"/>
        </w:rPr>
        <w:t xml:space="preserve">Zitiervorschlag: § 9 KraftStDV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https://recht.nulegal.eu/gesetze/KraftStDV%202017/9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