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KraftStDV 2017 — Besondere Kennzeichen</w:t>
      </w:r>
    </w:p>
    <w:p>
      <w:r>
        <w:rPr>
          <w:color w:val="555555"/>
          <w:sz w:val="18"/>
        </w:rPr>
        <w:t xml:space="preserve">Kraftfahrzeugsteuer-Durchführungsverordnung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besondere Kennzeichen nach § 1 Absatz 1 Nummer 4 des Gesetzes sind die §§ 3 bis 7 sinngemäß anzuwenden.</w:t>
      </w:r>
    </w:p>
    <w:p>
      <w:r>
        <w:rPr>
          <w:color w:val="555555"/>
          <w:sz w:val="17"/>
        </w:rPr>
        <w:t xml:space="preserve">Zitiervorschlag: § 8 KraftStDV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https://recht.nulegal.eu/gesetze/KraftStDV%202017/8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