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KraftStDV 2017 — Prüfung durch das Hauptzollamt</w:t>
      </w:r>
    </w:p>
    <w:p>
      <w:r>
        <w:rPr>
          <w:color w:val="555555"/>
          <w:sz w:val="18"/>
        </w:rPr>
        <w:t xml:space="preserve">Kraftfahrzeugsteuer-Durchführungsverordnung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Aufklärung von Zweifeln oder Unstimmigkeiten kann sich das zuständige Hauptzollamt das Fahrzeug vorführen und die Zulassungsbescheinigung Teil I und II (Fahrzeugschein und Fahrzeugbrief) sowie den Steuerbescheid vorlegen lassen.</w:t>
      </w:r>
    </w:p>
    <w:p>
      <w:r>
        <w:rPr>
          <w:color w:val="555555"/>
          <w:sz w:val="17"/>
        </w:rPr>
        <w:t xml:space="preserve">Zitiervorschlag: § 6 KraftStDV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https://recht.nulegal.eu/gesetze/KraftStDV%202017/6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