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KraftStDV 2017 — Anhängerzuschlag</w:t>
      </w:r>
    </w:p>
    <w:p>
      <w:r>
        <w:rPr>
          <w:color w:val="555555"/>
          <w:sz w:val="18"/>
        </w:rPr>
        <w:t xml:space="preserve">Kraftfahrzeugsteuer-Durchführungsverordnung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Antrag auf Erhöhung der Steuer um den Anhängerzuschlag nach § 10 Absatz 2 des Gesetzes kann bei der Zulassungsbehörde zugleich mit dem Antrag auf verkehrsrechtliche Zulassung gestellt werden. Er ist in diesem Fall in die Steuererklärung mit aufzunehmen.</w:t>
      </w:r>
    </w:p>
    <w:p>
      <w:r>
        <w:t xml:space="preserve">(2) In den übrigen Fällen ist der Antrag beim zuständigen Hauptzollamt zu stellen. Der Antrag gilt als Steuererklärung im Sinne des § 150 der Abgabenordnung.</w:t>
      </w:r>
    </w:p>
    <w:p>
      <w:r>
        <w:t xml:space="preserve">(3) Ein Antrag im Sinne des § 10 Absatz 2 des Gesetzes ist auch der Antrag, den Anhängerzuschlag nicht mehr in Anspruch nehmen zu wollen.</w:t>
      </w:r>
    </w:p>
    <w:p>
      <w:r>
        <w:rPr>
          <w:color w:val="555555"/>
          <w:sz w:val="17"/>
        </w:rPr>
        <w:t xml:space="preserve">Zitiervorschlag: § 4 KraftStDV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https://recht.nulegal.eu/gesetze/KraftStDV%202017/4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