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KraftStDV 2017 — Steuererklärung</w:t>
      </w:r>
    </w:p>
    <w:p>
      <w:r>
        <w:rPr>
          <w:color w:val="555555"/>
          <w:sz w:val="18"/>
        </w:rPr>
        <w:t xml:space="preserve">Kraftfahrzeugsteuer-Durchführungsverordnung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Halter eines inländischen Fahrzeugs hat eine Steuererklärung nach amtlich vorgeschriebenem Vordruck bei der Zulassungsbehörde abzugeben, wenn das Fahrzeug</w:t>
      </w:r>
    </w:p>
    <w:p>
      <w:pPr>
        <w:ind w:left="420"/>
      </w:pPr>
      <w:r>
        <w:t xml:space="preserve">1. zum Verkehr zugelassen werden soll,</w:t>
      </w:r>
    </w:p>
    <w:p>
      <w:pPr>
        <w:ind w:left="420"/>
      </w:pPr>
      <w:r>
        <w:t xml:space="preserve">2. zum Verkehr zugelassen ist und der Halter wechselt oder</w:t>
      </w:r>
    </w:p>
    <w:p>
      <w:pPr>
        <w:ind w:left="420"/>
      </w:pPr>
      <w:r>
        <w:t xml:space="preserve">3. während der Dauer der Steuerpflicht verändert wird und sich dadurch die Höhe der Steuer ändert.</w:t>
      </w:r>
    </w:p>
    <w:p>
      <w:r>
        <w:t xml:space="preserve">(2) Als Steuererklärung gilt auch die Fahrzeuganmeldung, wenn sie einen entsprechenden Hinweis enthält.</w:t>
      </w:r>
    </w:p>
    <w:p>
      <w:r>
        <w:t xml:space="preserve">(3) Eine Steuererklärung ist nicht erforderlich, wenn das Halten des Fahrzeugs nach § 3 Nummer 1 oder 2 des Gesetzes von der Steuer befreit ist.</w:t>
      </w:r>
    </w:p>
    <w:p>
      <w:r>
        <w:t xml:space="preserve">(4) Die Steuererklärung kann gemäß den §§ 87a bis 87d der Abgabenordnung elektronisch übermittelt werden.</w:t>
      </w:r>
    </w:p>
    <w:p>
      <w:r>
        <w:rPr>
          <w:color w:val="555555"/>
          <w:sz w:val="17"/>
        </w:rPr>
        <w:t xml:space="preserve">Zitiervorschlag: § 3 KraftStDV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https://recht.nulegal.eu/gesetze/KraftStDV%202017/3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