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KraftStDV 2017 — Mitwirkung des Bundesamtes für Logistik und Mobilität</w:t>
      </w:r>
    </w:p>
    <w:p>
      <w:r>
        <w:rPr>
          <w:color w:val="555555"/>
          <w:sz w:val="18"/>
        </w:rPr>
        <w:t xml:space="preserve">Kraftfahrzeugsteuer-Durchführungsverordnung</w:t>
      </w:r>
    </w:p>
    <w:p>
      <w:r>
        <w:rPr>
          <w:color w:val="555555"/>
          <w:sz w:val="18"/>
        </w:rPr>
        <w:t xml:space="preserve">Stand: 09.03.2023 (konsolidierte Textfassung, kein amtliches Inkrafttretensdatum)</w:t>
      </w:r>
    </w:p>
    <w:p>
      <w:r>
        <w:t xml:space="preserve">Das Bundesamt für Logistik und Mobilität überwacht die Einhaltung der kraftfahrzeugsteuerrechtlichen Vorschriften nach § 11 Absatz 2 Nummer 3 Buchstabe d und Absatz 3 des Güterkraftverkehrsgesetzes.</w:t>
      </w:r>
    </w:p>
    <w:p>
      <w:r>
        <w:rPr>
          <w:color w:val="555555"/>
          <w:sz w:val="17"/>
        </w:rPr>
        <w:t xml:space="preserve">Zitiervorschlag: § 2 KraftStDV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https://recht.nulegal.eu/gesetze/KraftStDV%202017/2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