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KraftStDV 2017 — Mitführ- und Auskunftspflichten des Steuerschuldners</w:t>
      </w:r>
    </w:p>
    <w:p>
      <w:r>
        <w:rPr>
          <w:color w:val="555555"/>
          <w:sz w:val="18"/>
        </w:rPr>
        <w:t xml:space="preserve">Kraftfahrzeugsteuer-Durchführungsverordnung</w:t>
      </w:r>
    </w:p>
    <w:p>
      <w:r>
        <w:rPr>
          <w:color w:val="555555"/>
          <w:sz w:val="18"/>
        </w:rPr>
        <w:t xml:space="preserve">Stand: 09.03.2023 (konsolidierte Textfassung, kein amtliches Inkrafttretensdatum)</w:t>
      </w:r>
    </w:p>
    <w:p>
      <w:r>
        <w:t xml:space="preserve">(1) Der Steuerschuldner hat die Steuerkarte mitzuführen und auf Verlangen den Bediensteten der Zollverwaltung, der Polizei oder des Bundesamtes für Logistik und Mobilität vorzuzeigen.</w:t>
      </w:r>
    </w:p>
    <w:p>
      <w:r>
        <w:t xml:space="preserve">(2) In den Fällen des § 10 Nummer 1 hat der Steuerschuldner die Steuerkarte bei jedem Grenzübertritt vorzulegen und den in Absatz 1 genannten Behörden auf Verlangen Auskunft zu erteilen.</w:t>
      </w:r>
    </w:p>
    <w:p>
      <w:r>
        <w:rPr>
          <w:color w:val="555555"/>
          <w:sz w:val="17"/>
        </w:rPr>
        <w:t xml:space="preserve">Zitiervorschlag: § 13 KraftStDV 2017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https://recht.nulegal.eu/gesetze/KraftStDV%202017/13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