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KraftStDV 2017 — Zuständiges Hauptzollamt</w:t>
      </w:r>
    </w:p>
    <w:p>
      <w:r>
        <w:rPr>
          <w:color w:val="555555"/>
          <w:sz w:val="18"/>
        </w:rPr>
        <w:t xml:space="preserve">Kraftfahrzeugsteuer-Durchführungsverordnung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Örtlich zuständig ist</w:t>
      </w:r>
    </w:p>
    <w:p>
      <w:pPr>
        <w:ind w:left="420"/>
      </w:pPr>
      <w:r>
        <w:t xml:space="preserve">1. für inländische Fahrzeuge und für besondere Kennzeichen nach § 1 Absatz 1 Nummer 4 des Gesetzes das Hauptzollamt, in dessen Bezirk die nach § 75 der Fahrzeug-Zulassungsverordnung örtlich zuständige Zulassungsbehörde ihren Sitz hat;</w:t>
      </w:r>
    </w:p>
    <w:p>
      <w:pPr>
        <w:ind w:left="420"/>
      </w:pPr>
      <w:r>
        <w:t xml:space="preserve">2. für ausländische Fahrzeuge</w:t>
      </w:r>
    </w:p>
    <w:p>
      <w:pPr>
        <w:ind w:left="780"/>
      </w:pPr>
      <w:r>
        <w:t xml:space="preserve">a) zur steuerlichen Abfertigung beim Eingang in das Inland das Hauptzollamt, in dessen Bezirk die Hoheitsgrenze mit dem Fahrzeug überschritten wird,</w:t>
      </w:r>
    </w:p>
    <w:p>
      <w:pPr>
        <w:ind w:left="780"/>
      </w:pPr>
      <w:r>
        <w:t xml:space="preserve">b) in den übrigen Fällen das Hauptzollamt, das zuerst mit der Sache befasst wird;</w:t>
      </w:r>
    </w:p>
    <w:p>
      <w:pPr>
        <w:ind w:left="420"/>
      </w:pPr>
      <w:r>
        <w:t xml:space="preserve">3. für widerrechtlich benutzte Fahrzeuge das Hauptzollamt, das zuerst mit der Sache befasst wird oder bei Einhaltung der verkehrsrechtlich vorgeschriebenen Zulassung nach Nummer 1 zuständig wäre.</w:t>
      </w:r>
    </w:p>
    <w:p>
      <w:r>
        <w:rPr>
          <w:color w:val="555555"/>
          <w:sz w:val="17"/>
        </w:rPr>
        <w:t xml:space="preserve">Zitiervorschlag: § 1 KraftStDV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https://recht.nulegal.eu/gesetze/KraftStDV%202017/1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