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KraftStCHEV</w:t>
      </w:r>
    </w:p>
    <w:p>
      <w:r>
        <w:rPr>
          <w:color w:val="555555"/>
          <w:sz w:val="18"/>
        </w:rPr>
        <w:t xml:space="preserve">Verordnung über die kraftfahrzeugsteuerliche Behandlung von schweizerischen Straßenfahrzeugen im grenzüberschreitenden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1 Nr. 5, 7 und 8 des Kraftfahrzeugsteuergesetzes in der Fassung der Bekanntmachung vom 1. Februar 1979 (BGBl. I S. 132)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KraftStCHEV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https://recht.nulegal.eu/gesetze/KraftStCHEV/eingangsformel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