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KraftNAV</w:t>
      </w:r>
    </w:p>
    <w:p>
      <w:r>
        <w:rPr>
          <w:color w:val="555555"/>
          <w:sz w:val="18"/>
        </w:rPr>
        <w:t xml:space="preserve">Kraftwerks-Netzanschlussverordnung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17 Abs. 3 Satz 1 in Verbindung mit Satz 2, des § 24 Satz 1 Nr. 1 in Verbindung mit Satz 2 Nr. 2 und 3 sowie Satz 3 und des § 29 Abs. 3 des Energiewirtschaftsgesetzes vom 7. Juli 2005 (BGBl. I S. 1970) verordnet die Bundesregierung:</w:t>
      </w:r>
    </w:p>
    <w:p>
      <w:r>
        <w:rPr>
          <w:color w:val="555555"/>
          <w:sz w:val="17"/>
        </w:rPr>
        <w:t xml:space="preserve">Zitiervorschlag: Eingangsformel KraftNAV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https://recht.nulegal.eu/gesetze/KraftNAV/eingangsformel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