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KraftNAV — Begriffsbestimmungen</w:t>
      </w:r>
    </w:p>
    <w:p>
      <w:r>
        <w:rPr>
          <w:color w:val="555555"/>
          <w:sz w:val="18"/>
        </w:rPr>
        <w:t xml:space="preserve">Kraftwerks-Netzanschlussverordnung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</w:t>
      </w:r>
    </w:p>
    <w:p>
      <w:pPr>
        <w:ind w:left="420"/>
      </w:pPr>
      <w:r>
        <w:t xml:space="preserve">1. ist Anschlussnehmer derjenige, der als Projektentwicklungsträger, Errichter oder Betreiber die Herstellung des Anschlusses an ein Elektrizitätsversorgungsnetz mit einer Spannung von mindestens 110 Kilovolt für eine Erzeugungsanlage beansprucht,</w:t>
      </w:r>
    </w:p>
    <w:p>
      <w:pPr>
        <w:ind w:left="420"/>
      </w:pPr>
      <w:r>
        <w:t xml:space="preserve">2. ist Netzanschluss die Herstellung der elektrischen Leitung, die Erzeugungsanlage und Anschlusspunkt verbindet, und ihre Verknüpfung mit dem Anschlusspunkt,</w:t>
      </w:r>
    </w:p>
    <w:p>
      <w:pPr>
        <w:ind w:left="420"/>
      </w:pPr>
      <w:r>
        <w:t xml:space="preserve">3. sind Netzbetreiber die Betreiber von Elektrizitätsversorgungsnetzen mit einer Spannung von 110 Kilovolt oder darüber,</w:t>
      </w:r>
    </w:p>
    <w:p>
      <w:pPr>
        <w:ind w:left="420"/>
      </w:pPr>
      <w:r>
        <w:t xml:space="preserve">4. ist Netzschemaplan ein schematischer Netzplan mit allen Stromkreisen, Schaltanlagen, Sammelschienen und Umspannwerken.</w:t>
      </w:r>
    </w:p>
    <w:p>
      <w:r>
        <w:rPr>
          <w:color w:val="555555"/>
          <w:sz w:val="17"/>
        </w:rPr>
        <w:t xml:space="preserve">Zitiervorschlag: § 2 KraftNAV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https://recht.nulegal.eu/gesetze/KraftNAV/2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