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KraftNAV — Inkrafttreten</w:t>
      </w:r>
    </w:p>
    <w:p>
      <w:r>
        <w:rPr>
          <w:color w:val="555555"/>
          <w:sz w:val="18"/>
        </w:rPr>
        <w:t xml:space="preserve">Kraftwerks-Netzanschlussverordnung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11 KraftNAV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https://recht.nulegal.eu/gesetze/KraftNAV/11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KraftNAV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