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KraftNAV — Festlegungen der Regulierungsbehörde</w:t>
      </w:r>
    </w:p>
    <w:p>
      <w:r>
        <w:rPr>
          <w:color w:val="555555"/>
          <w:sz w:val="18"/>
        </w:rPr>
        <w:t xml:space="preserve">Kraftwerks-Netzanschlussverordnung</w:t>
      </w:r>
    </w:p>
    <w:p>
      <w:r>
        <w:rPr>
          <w:color w:val="555555"/>
          <w:sz w:val="18"/>
        </w:rPr>
        <w:t xml:space="preserve">Stand: 10.06.2019 (konsolidierte Textfassung, kein amtliches Inkrafttretensdatum)</w:t>
      </w:r>
    </w:p>
    <w:p>
      <w:r>
        <w:t xml:space="preserve">Zur Verwirklichung eines effizienten Anschlusses von Erzeugungsanlagen an das Netz und der in § 1 Abs. 1 des Energiewirtschaftsgesetzes genannten Zwecke kann die Regulierungsbehörde Entscheidungen durch Festlegung nach § 29 Abs. 1 des Energiewirtschaftsgesetzes zur näheren Ausgestaltung des zwischen Anschlussnehmern und Netzbetreibern einzuhaltenden Verfahrens im Zuge der Beantragung und Gewährung eines Netzanschlusses treffen. Dies umfasst insbesondere die Ausgestaltung und den Inhalt der gegenseitigen Informationspflichten, Vorleistungspflichten, Fristenregelungen sowie der standardisierten Bedingungen für einen Netzanschlussvertrag nach § 3 Abs. 1 Nr. 2.</w:t>
      </w:r>
    </w:p>
    <w:p>
      <w:r>
        <w:rPr>
          <w:color w:val="555555"/>
          <w:sz w:val="17"/>
        </w:rPr>
        <w:t xml:space="preserve">Zitiervorschlag: § 10 KraftNAV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https://recht.nulegal.eu/gesetze/KraftNAV/10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