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KrZwMG — Unterrichtungspflichten; Verordnungsermächtigung</w:t>
      </w:r>
    </w:p>
    <w:p>
      <w:r>
        <w:rPr>
          <w:color w:val="555555"/>
          <w:sz w:val="18"/>
        </w:rPr>
        <w:t xml:space="preserve">Kreditzweitmarktgesetz</w:t>
      </w:r>
    </w:p>
    <w:p>
      <w:r>
        <w:rPr>
          <w:color w:val="555555"/>
          <w:sz w:val="18"/>
        </w:rPr>
        <w:t xml:space="preserve">Stand: 30.12.2023 (konsolidierte Textfassung, kein amtliches Inkrafttretensdatum)</w:t>
      </w:r>
    </w:p>
    <w:p>
      <w:r>
        <w:t xml:space="preserve">(1) Kreditdienstleistungsinstitute haben die Bundesanstalt, die Deutsche Bundesbank und, falls ein Aufnahmemitgliedstaat vorhanden ist, die dort zuständigen Behörden zu unterrichten, bevor sie Kreditdienstleistungen nach § 20 Absatz 1 auslagern.</w:t>
      </w:r>
    </w:p>
    <w:p>
      <w:r>
        <w:t xml:space="preserve">(2) Das Bundesministerium der Finanzen wird ermächtigt, durch Rechtsverordnung, die nicht der Zustimmung des Bundesrates bedarf, im Benehmen mit der Deutschen Bundesbank nähere Bestimmungen über Art, Umfang und Form der Unterrichtung nach Absatz 1 zu erlassen. Das Bundesministerium der Finanzen kann die Ermächtigung durch Rechtsverordnung, die nicht der Zustimmung des Bundesrates bedarf, auf die Bundesanstalt mit der Maßgabe übertragen, dass die Rechtsverordnung im Einvernehmen mit der Deutschen Bundesbank ergeht. Vor Erlass der Rechtsverordnung sind die Spitzenverbände der Kreditdienstleistungsinstitute anzuhören.</w:t>
      </w:r>
    </w:p>
    <w:p>
      <w:r>
        <w:rPr>
          <w:color w:val="555555"/>
          <w:sz w:val="17"/>
        </w:rPr>
        <w:t xml:space="preserve">Zitiervorschlag: § 21 KrZwMG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https://recht.nulegal.eu/gesetze/KrZwMG/21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