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KrWoFGV</w:t>
      </w:r>
    </w:p>
    <w:p>
      <w:r>
        <w:rPr>
          <w:color w:val="555555"/>
          <w:sz w:val="18"/>
        </w:rPr>
        <w:t xml:space="preserve">Kriegsbedingte Wohnsitzfortgeltungsverordnung</w:t>
      </w:r>
    </w:p>
    <w:p>
      <w:r>
        <w:rPr>
          <w:color w:val="555555"/>
          <w:sz w:val="18"/>
        </w:rPr>
        <w:t xml:space="preserve">Stand: 16.08.2024 (konsolidierte Textfassung, kein amtliches Inkrafttretensdatum)</w:t>
      </w:r>
    </w:p>
    <w:p>
      <w:r>
        <w:t xml:space="preserve">Auf Grund des § 4 Absatz 4 des Bundesvertriebenengesetzes, der durch Artikel 1 Nummer 1 des Gesetzes vom 20. Dezember 2023 (BGBl. 2023 I Nr. 390) eingefügt worden ist, verordnet das Bundesministerium des Innern und für Heimat:</w:t>
      </w:r>
    </w:p>
    <w:p>
      <w:r>
        <w:rPr>
          <w:color w:val="555555"/>
          <w:sz w:val="17"/>
        </w:rPr>
        <w:t xml:space="preserve">Zitiervorschlag: Eingangsformel KrWoFGV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https://recht.nulegal.eu/gesetze/KrWoFGV/eingangsformel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