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KrWoFGV — Inkrafttreten</w:t>
      </w:r>
    </w:p>
    <w:p>
      <w:r>
        <w:rPr>
          <w:color w:val="555555"/>
          <w:sz w:val="18"/>
        </w:rPr>
        <w:t xml:space="preserve">Kriegsbedingte Wohnsitzfortgeltungsverordnung</w:t>
      </w:r>
    </w:p>
    <w:p>
      <w:r>
        <w:rPr>
          <w:color w:val="555555"/>
          <w:sz w:val="18"/>
        </w:rPr>
        <w:t xml:space="preserve">Stand: 16.08.2024 (konsolidierte Textfassung, kein amtliches Inkrafttretensdatum)</w:t>
      </w:r>
    </w:p>
    <w:p>
      <w:r>
        <w:t xml:space="preserve">Diese Verordnung tritt mit Wirkung vom 24. Februar 2022 in Kraft.</w:t>
      </w:r>
    </w:p>
    <w:p>
      <w:r>
        <w:rPr>
          <w:color w:val="555555"/>
          <w:sz w:val="17"/>
        </w:rPr>
        <w:t xml:space="preserve">Zitiervorschlag: § 2 KrWoFGV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https://recht.nulegal.eu/gesetze/KrWoFGV/2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