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KrWaffUnbrUmgV</w:t>
      </w:r>
    </w:p>
    <w:p>
      <w:r>
        <w:rPr>
          <w:color w:val="555555"/>
          <w:sz w:val="18"/>
        </w:rPr>
        <w:t xml:space="preserve">Kriegswaffenunbrauchbarmachungs- und -umgangsverordnung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der §§ 13a und 14 Absatz 8 des Gesetzes über die Kontrolle von Kriegswaffen in der Fassung der Bekanntmachung vom 22. November 1990 (BGBl. I S. 2506), die zuletzt durch Artikel 30 Nummer 2 und 3 der Verordnung vom 31. August 2015 (BGBl. I S. 1474) geändert worden sind, und auf Grund des § 36 Absatz 3 des Gesetzes über Ordnungswidrigkeiten in der Fassung der Bekanntmachung vom 19. Februar 1987 (BGBl. I S. 602), der zuletzt durch Artikel 1 Nummer 5 Buchstabe b des Gesetzes vom 26. Januar 1998 (BGBl. I S. 156) geändert worden ist, verordnet das Bundesministerium für Wirtschaft und Energie:</w:t>
      </w:r>
    </w:p>
    <w:p>
      <w:r>
        <w:rPr>
          <w:color w:val="555555"/>
          <w:sz w:val="17"/>
        </w:rPr>
        <w:t xml:space="preserve">Zitiervorschlag: Eingangsformel KrWaffUnbrUmgV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https://recht.nulegal.eu/gesetze/KrWaffUnbrUmgV/eingangsformel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