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KrWaffUnbrUmgV — Umgangsregeln für fahrfähige unbrauchbar gemachte Kriegswaffen</w:t>
      </w:r>
    </w:p>
    <w:p>
      <w:r>
        <w:rPr>
          <w:color w:val="555555"/>
          <w:sz w:val="18"/>
        </w:rPr>
        <w:t xml:space="preserve">Kriegswaffenunbrauchbarmachungs- und -umgangsverordnung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Sofern bei einer fahrfähigen unbrauchbar gemachten Kriegswaffe der Nummern 25 bis 28, 31 – ausgenommen fahrfähige unbrauchbar gemachte Panzerhaubitzen – und 33 der Kriegswaffenliste Ausschnitte in der Panzerung mit handelsüblichem Blech verkleidet sind, muss der genaue Verlauf der Verkleidung, zumindest aus dem Innenraum des Fahrzeugs, deutlich erkennbar sein.</w:t>
      </w:r>
    </w:p>
    <w:p>
      <w:r>
        <w:t xml:space="preserve">(2) Wer eine fahrfähige unbrauchbar gemachte Kriegswaffe besitzt, hat sicherzustellen, dass diese nicht abhandenkommen kann oder Dritte sie unbefugt an sich nehmen können.</w:t>
      </w:r>
    </w:p>
    <w:p>
      <w:r>
        <w:t xml:space="preserve">(3) Wer eine fahrfähige unbrauchbar gemachte Kriegswaffe besitzt oder die Erteilung einer Erlaubnis nach § 5 beantragt hat, hat der zuständigen Behörde die zur Erfüllung der Pflicht nach Absatz 2 erforderlichen Vorkehrungen nachzuweisen.</w:t>
      </w:r>
    </w:p>
    <w:p>
      <w:r>
        <w:rPr>
          <w:color w:val="555555"/>
          <w:sz w:val="17"/>
        </w:rPr>
        <w:t xml:space="preserve">Zitiervorschlag: § 9 KrWaffUnbrUmgV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https://recht.nulegal.eu/gesetze/KrWaffUnbrUmgV/9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