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KrWaffUnbrUmgV — Inhaltliche Beschränkungen; Nebenbestimmungen</w:t>
      </w:r>
    </w:p>
    <w:p>
      <w:r>
        <w:rPr>
          <w:color w:val="555555"/>
          <w:sz w:val="18"/>
        </w:rPr>
        <w:t xml:space="preserve">Kriegswaffenunbrauchbarmachungs- und -umgangsverordnung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Eine Erlaubnis nach dieser Verordnung kann zur Abwehr von Gefahren für die öffentliche Sicherheit und Ordnung inhaltlich beschränkt werden.</w:t>
      </w:r>
    </w:p>
    <w:p>
      <w:r>
        <w:t xml:space="preserve">(2) Zu dem in Absatz 1 genannten Zweck können Erlaubnisse befristet oder mit Auflagen verbunden werden. Auflagen können nachträglich aufgenommen oder geändert werden.</w:t>
      </w:r>
    </w:p>
    <w:p>
      <w:r>
        <w:rPr>
          <w:color w:val="555555"/>
          <w:sz w:val="17"/>
        </w:rPr>
        <w:t xml:space="preserve">Zitiervorschlag: § 8 KrWaffUnbrUmgV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https://recht.nulegal.eu/gesetze/KrWaffUnbrUmgV/8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