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KrWaffUnbrUmgV — Ausnahmen von der Erlaubnispflicht</w:t>
      </w:r>
    </w:p>
    <w:p>
      <w:r>
        <w:rPr>
          <w:color w:val="555555"/>
          <w:sz w:val="18"/>
        </w:rPr>
        <w:t xml:space="preserve">Kriegswaffenunbrauchbarmachungs- und -umgangsverordnung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Einer Erlaubnis nach § 5 für den Umgang mit einer dort genannten unbrauchbar gemachten Kriegswaffe bedarf nicht,</w:t>
      </w:r>
    </w:p>
    <w:p>
      <w:pPr>
        <w:ind w:left="420"/>
      </w:pPr>
      <w:r>
        <w:t xml:space="preserve">1. wer mit dieser mit Zustimmung eines Erlaubnisinhabers unter Aufsicht innerhalb eines befriedeten Besitztums umgeht,</w:t>
      </w:r>
    </w:p>
    <w:p>
      <w:pPr>
        <w:ind w:left="420"/>
      </w:pPr>
      <w:r>
        <w:t xml:space="preserve">2. wer diese für einen Erlaubnisinhaber von einem befriedetem Besitztum oder zu einem befriedetem Besitztum befördert oder</w:t>
      </w:r>
    </w:p>
    <w:p>
      <w:pPr>
        <w:ind w:left="420"/>
      </w:pPr>
      <w:r>
        <w:t xml:space="preserve">3. wer für diese vor deren Unbrauchbarmachung eine nach dem Gesetz über die Kontrolle von Kriegswaffen erteilte Genehmigung innehatte.</w:t>
      </w:r>
    </w:p>
    <w:p>
      <w:r>
        <w:t xml:space="preserve">(2) Die zuständige Behörde kann im Einzelfall weitere Ausnahmen von der Erlaubnispflicht genehmigen, wenn besondere Gründe vorliegen und Belange der öffentlichen Sicherheit und Ordnung nicht entgegenstehen.</w:t>
      </w:r>
    </w:p>
    <w:p>
      <w:r>
        <w:rPr>
          <w:color w:val="555555"/>
          <w:sz w:val="17"/>
        </w:rPr>
        <w:t xml:space="preserve">Zitiervorschlag: § 7 KrWaffUnbrUmgV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https://recht.nulegal.eu/gesetze/KrWaffUnbrUmgV/7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