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KrWaffUnbrUmgV — Erlaubnispflicht</w:t>
      </w:r>
    </w:p>
    <w:p>
      <w:r>
        <w:rPr>
          <w:color w:val="555555"/>
          <w:sz w:val="18"/>
        </w:rPr>
        <w:t xml:space="preserve">Kriegswaffenunbrauchbarmachungs- und -umgangsverordnung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abweichend von § 4 Absatz 3 Satz 1 Nummer 2 mit einer dort genannten fahrfähigen unbrauchbar gemachten Kriegswaffe innerhalb eigenen oder fremden befriedeten Besitztums umgehen will, bedarf der Erlaubnis. Diese Erlaubnis berechtigt den Inhaber auch zur Beförderung einer in Satz 1 genannten unbrauchbar gemachten Kriegswaffe von einem befriedeten Besitztum zu einem anderen.</w:t>
      </w:r>
    </w:p>
    <w:p>
      <w:r>
        <w:t xml:space="preserve">(2) Eine Erlaubnis setzt voraus, dass der Antragsteller</w:t>
      </w:r>
    </w:p>
    <w:p>
      <w:pPr>
        <w:ind w:left="420"/>
      </w:pPr>
      <w:r>
        <w:t xml:space="preserve">1. im Zeitpunkt der Erlaubniserteilung das 18. Lebensjahr vollendet hat,</w:t>
      </w:r>
    </w:p>
    <w:p>
      <w:pPr>
        <w:ind w:left="420"/>
      </w:pPr>
      <w:r>
        <w:t xml:space="preserve">2. die erforderliche Zuverlässigkeit besitzt und</w:t>
      </w:r>
    </w:p>
    <w:p>
      <w:pPr>
        <w:ind w:left="420"/>
      </w:pPr>
      <w:r>
        <w:t xml:space="preserve">3. der zuständigen Behörde bei Antragstellung die erforderlichen Vorkehrungen nach § 9 Absatz 3 nachgewiesen hat.</w:t>
      </w:r>
    </w:p>
    <w:p>
      <w:r>
        <w:t xml:space="preserve">(3) Die Erlaubnis wird nur erteilt, sofern Gründe der öffentlichen Sicherheit oder Ordnung nicht entgegenstehen.</w:t>
      </w:r>
    </w:p>
    <w:p>
      <w:r>
        <w:rPr>
          <w:color w:val="555555"/>
          <w:sz w:val="17"/>
        </w:rPr>
        <w:t xml:space="preserve">Zitiervorschlag: § 5 KrWaffUnbrUmgV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https://recht.nulegal.eu/gesetze/KrWaffUnbrUmgV/5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