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KrWaffUnbrUmgV — Bescheinigung über die Unbrauchbarmachung</w:t>
      </w:r>
    </w:p>
    <w:p>
      <w:r>
        <w:rPr>
          <w:color w:val="555555"/>
          <w:sz w:val="18"/>
        </w:rPr>
        <w:t xml:space="preserve">Kriegswaffenunbrauchbarmachungs- und -umgangsverordnung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Bundesministerium für Wirtschaft und Energie kann auf Antrag feststellen, dass eine Kriegswaffe unbrauchbar im Sinne des § 1 Absatz 1 ist, und darüber eine Bescheinigung ausstellen.</w:t>
      </w:r>
    </w:p>
    <w:p>
      <w:r>
        <w:t xml:space="preserve">(2) Abweichend von Absatz 1 trifft für Abgaben aus Bundeswehrbeständen das Bundesministerium der Verteidigung die Feststellung nach Absatz 1 und stellt eine entsprechende Bescheinigung aus.</w:t>
      </w:r>
    </w:p>
    <w:p>
      <w:r>
        <w:t xml:space="preserve">(3) Die Unbrauchbarmachung der Kriegswaffe ist vom Antragsteller bei Antragstellung in geeigneter Form nachzuweisen.</w:t>
      </w:r>
    </w:p>
    <w:p>
      <w:r>
        <w:rPr>
          <w:color w:val="555555"/>
          <w:sz w:val="17"/>
        </w:rPr>
        <w:t xml:space="preserve">Zitiervorschlag: § 3 KrWaffUnbrUmgV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https://recht.nulegal.eu/gesetze/KrWaffUnbrUmgV/3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