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KrWaffUnbrUmgV — Maßnahmen zur Unbrauchbarmachung; Verwaltungsvorschriften</w:t>
      </w:r>
    </w:p>
    <w:p>
      <w:r>
        <w:rPr>
          <w:color w:val="555555"/>
          <w:sz w:val="18"/>
        </w:rPr>
        <w:t xml:space="preserve">Kriegswaffenunbrauchbarmachungs- und -umgangsverordnung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die Unbrauchbarmachung erforderlichen technischen Veränderungen richten sich nach der Art der Kriegswaffe.</w:t>
      </w:r>
    </w:p>
    <w:p>
      <w:r>
        <w:t xml:space="preserve">(2) Das Bundesministerium für Wirtschaft und Energie kann durch Allgemeinverfügung die im Einzelfall je nach Art der Kriegswaffe erforderlichen technischen Veränderungen anordnen.</w:t>
      </w:r>
    </w:p>
    <w:p>
      <w:r>
        <w:rPr>
          <w:color w:val="555555"/>
          <w:sz w:val="17"/>
        </w:rPr>
        <w:t xml:space="preserve">Zitiervorschlag: § 2 KrWaffUnbrUmgV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https://recht.nulegal.eu/gesetze/KrWaffUnbrUmgV/2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