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KrWaffUnbrUmgV — Ordnungswidrigkeiten</w:t>
      </w:r>
    </w:p>
    <w:p>
      <w:r>
        <w:rPr>
          <w:color w:val="555555"/>
          <w:sz w:val="18"/>
        </w:rPr>
        <w:t xml:space="preserve">Kriegswaffenunbrauchbarmachungs- und -umgangsverordnung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22b Absatz 1 Nummer 3a des Gesetzes über die Kontrolle von Kriegswaffen handelt, wer vorsätzlich oder fahrlässig</w:t>
      </w:r>
    </w:p>
    <w:p>
      <w:pPr>
        <w:ind w:left="420"/>
      </w:pPr>
      <w:r>
        <w:t xml:space="preserve">1. entgegen § 4 Absatz 2 mit einer dort genannten unbrauchbar gemachten Kriegswaffe oder Panzerhaubitze umgeht,</w:t>
      </w:r>
    </w:p>
    <w:p>
      <w:pPr>
        <w:ind w:left="420"/>
      </w:pPr>
      <w:r>
        <w:t xml:space="preserve">2. entgegen § 4 Absatz 3 Satz 1 Nummer 1 eine dort genannte unbrauchbar gemachte Kriegswaffe für Dritte führt,</w:t>
      </w:r>
    </w:p>
    <w:p>
      <w:pPr>
        <w:ind w:left="420"/>
      </w:pPr>
      <w:r>
        <w:t xml:space="preserve">3. entgegen § 4 Absatz 3 Satz 1 Nummer 2 mit einer dort genannten unbrauchbar gemachten Kriegswaffe umgeht,</w:t>
      </w:r>
    </w:p>
    <w:p>
      <w:pPr>
        <w:ind w:left="420"/>
      </w:pPr>
      <w:r>
        <w:t xml:space="preserve">4. entgegen § 9 Absatz 2 nicht sicherstellt, dass eine dort genannte unbrauchbar gemachte Kriegswaffe nicht abhandenkommt oder Dritte sie nicht an sich nehmen können,</w:t>
      </w:r>
    </w:p>
    <w:p>
      <w:pPr>
        <w:ind w:left="420"/>
      </w:pPr>
      <w:r>
        <w:t xml:space="preserve">5. entgegen § 10 Absatz 1 Satz 1 oder § 10 Absatz 2 eine Anzeige nicht, nicht richtig, nicht vollständig oder nicht rechtzeitig erstattet oder</w:t>
      </w:r>
    </w:p>
    <w:p>
      <w:pPr>
        <w:ind w:left="420"/>
      </w:pPr>
      <w:r>
        <w:t xml:space="preserve">6. entgegen § 11 Absatz 1 eine dort genannte Ausfertigung nicht, nicht richtig, nicht vollständig oder nicht rechtzeitig zurückgibt.</w:t>
      </w:r>
    </w:p>
    <w:p>
      <w:r>
        <w:t xml:space="preserve">(2) Die Zuständigkeit für die Verfolgung und Ahndung von Ordnungswidrigkeiten nach Absatz 1 wird auf das Bundesamt für Wirtschaft und Ausfuhrkontrolle übertragen.</w:t>
      </w:r>
    </w:p>
    <w:p>
      <w:r>
        <w:rPr>
          <w:color w:val="555555"/>
          <w:sz w:val="17"/>
        </w:rPr>
        <w:t xml:space="preserve">Zitiervorschlag: § 16 KrWaffUnbrUmgV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https://recht.nulegal.eu/gesetze/KrWaffUnbrUmgV/16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KrWaffUnbrUmgV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