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KrWaffUnbrUmgV — Behörden und Stellen in staatlicher Trägerschaft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3 dieser Verordnung gilt nicht für</w:t>
      </w:r>
    </w:p>
    <w:p>
      <w:pPr>
        <w:ind w:left="420"/>
      </w:pPr>
      <w:r>
        <w:t xml:space="preserve">1. die obersten Bundes- und Landesbehörden,</w:t>
      </w:r>
    </w:p>
    <w:p>
      <w:pPr>
        <w:ind w:left="420"/>
      </w:pPr>
      <w:r>
        <w:t xml:space="preserve">2. die Bundeswehr und die in der Bundesrepublik stationierten ausländischen Streitkräfte,</w:t>
      </w:r>
    </w:p>
    <w:p>
      <w:pPr>
        <w:ind w:left="420"/>
      </w:pPr>
      <w:r>
        <w:t xml:space="preserve">3. die Polizeien des Bundes und der Länder,</w:t>
      </w:r>
    </w:p>
    <w:p>
      <w:pPr>
        <w:ind w:left="420"/>
      </w:pPr>
      <w:r>
        <w:t xml:space="preserve">4. die Zollverwaltung,</w:t>
      </w:r>
    </w:p>
    <w:p>
      <w:pPr>
        <w:ind w:left="420"/>
      </w:pPr>
      <w:r>
        <w:t xml:space="preserve">5. Museen und Sammlungen in staatlicher Trägerschaft,</w:t>
      </w:r>
    </w:p>
    <w:p>
      <w:pPr>
        <w:ind w:left="420"/>
      </w:pPr>
      <w:r>
        <w:t xml:space="preserve">6. Gesellschaften, die ausgemusterte Kriegswaffen des Bundes oder der Länder verwerten und deren Gesellschafter ausschließlich der Bund oder Länder sind,</w:t>
      </w:r>
    </w:p>
    <w:p>
      <w:r>
        <w:t xml:space="preserve">und deren Bedienstete, soweit sie dienstlich oder im Rahmen ihres Arbeitsverhältnisses tätig werden.</w:t>
      </w:r>
    </w:p>
    <w:p>
      <w:r>
        <w:rPr>
          <w:color w:val="555555"/>
          <w:sz w:val="17"/>
        </w:rPr>
        <w:t xml:space="preserve">Zitiervorschlag: § 13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