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KrWaffUnbrUmgV — Anzeigepflichten</w:t>
      </w:r>
    </w:p>
    <w:p>
      <w:r>
        <w:rPr>
          <w:color w:val="555555"/>
          <w:sz w:val="18"/>
        </w:rPr>
        <w:t xml:space="preserve">Kriegswaffenunbrauchbarmachungs- und -umgangsverordnung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 unbrauchbar gemachte Kriegswaffe, deren Umgang nach dieser Verordnung verboten ist oder einer Erlaubnis bedarf,</w:t>
      </w:r>
    </w:p>
    <w:p>
      <w:pPr>
        <w:ind w:left="420"/>
      </w:pPr>
      <w:r>
        <w:t xml:space="preserve">1. beim Tode eines Besitzers, als Finder oder in ähnlicher Weise,</w:t>
      </w:r>
    </w:p>
    <w:p>
      <w:pPr>
        <w:ind w:left="420"/>
      </w:pPr>
      <w:r>
        <w:t xml:space="preserve">2. als Insolvenzverwalter, Zwangsverwalter, Gerichtsvollzieher oder in ähnlicher Weise</w:t>
      </w:r>
    </w:p>
    <w:p>
      <w:r>
        <w:t xml:space="preserve">in Besitz nimmt, hat dies der zuständigen Behörde unverzüglich anzuzeigen. § 11 Absatz 2 gilt entsprechend.</w:t>
      </w:r>
    </w:p>
    <w:p>
      <w:r>
        <w:t xml:space="preserve">(2) Wem</w:t>
      </w:r>
    </w:p>
    <w:p>
      <w:pPr>
        <w:ind w:left="420"/>
      </w:pPr>
      <w:r>
        <w:t xml:space="preserve">1. eine unbrauchbar gemachte Kriegswaffe, deren Umgang nach dieser Verordnung verboten ist oder einer Genehmigung oder Erlaubnis bedarf oder</w:t>
      </w:r>
    </w:p>
    <w:p>
      <w:pPr>
        <w:ind w:left="420"/>
      </w:pPr>
      <w:r>
        <w:t xml:space="preserve">2. eine Ausfertigung einer Genehmigungsurkunde oder einer Erlaubnisurkunde</w:t>
      </w:r>
    </w:p>
    <w:p>
      <w:r>
        <w:t xml:space="preserve">abhandengekommen ist, hat dies der zuständigen Behörde unverzüglich anzuzeigen.</w:t>
      </w:r>
    </w:p>
    <w:p>
      <w:r>
        <w:rPr>
          <w:color w:val="555555"/>
          <w:sz w:val="17"/>
        </w:rPr>
        <w:t xml:space="preserve">Zitiervorschlag: § 10 KrWaffUnbrUmgV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https://recht.nulegal.eu/gesetze/KrWaffUnbrUmgV/10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KrWaffUnbrUmgV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