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KrWaffKontrGDV 1</w:t>
      </w:r>
    </w:p>
    <w:p>
      <w:r>
        <w:rPr>
          <w:color w:val="555555"/>
          <w:sz w:val="18"/>
        </w:rPr>
        <w:t xml:space="preserve">Erste Verordnung zur Durchführung des Gesetzes über die Kontrolle von Kriegswaffen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11 Abs. 2 und 3 des Gesetzes über die Kontrolle von Kriegswaffen vom 20. April 1961 (Bundesgesetzbl. I S. 444) wird von der Bundesregierung und auf Grund des § 14 Abs. 8 dieses Gesetzes wird vom Bundesminister für Wirtschaft verordnet:</w:t>
      </w:r>
    </w:p>
    <w:p>
      <w:r>
        <w:rPr>
          <w:color w:val="555555"/>
          <w:sz w:val="17"/>
        </w:rPr>
        <w:t xml:space="preserve">Zitiervorschlag: Eingangsformel KrWaffKontrGDV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https://recht.nulegal.eu/gesetze/KrWaffKontrGDV%201/eingangsformel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KrWaffKontrGDV 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