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KrWaffKontrG — Übergangsregelungen für das in Artikel 3 des Einigungsvertrages genannte Gebiet</w:t>
      </w:r>
    </w:p>
    <w:p>
      <w:r>
        <w:rPr>
          <w:color w:val="555555"/>
          <w:sz w:val="18"/>
        </w:rPr>
        <w:t xml:space="preserve">Gesetz über die Kontrolle von Kriegswaffen</w:t>
      </w:r>
    </w:p>
    <w:p>
      <w:r>
        <w:rPr>
          <w:color w:val="555555"/>
          <w:sz w:val="18"/>
        </w:rPr>
        <w:t xml:space="preserve">Stand: 10.06.2019 (konsolidierte Textfassung, kein amtliches Inkrafttretensdatum)</w:t>
      </w:r>
    </w:p>
    <w:p>
      <w:r>
        <w:t xml:space="preserve">(1) Eine vor dem Tage des Wirksamwerdens des Beitritts in dem in Artikel 3 des Einigungsvertrages genannten Gebiet begonnene oder in Aussicht genommene und nicht aufschiebbare Handlung, die nach diesem Gesetz der Genehmigung bedarf, kann vorläufig genehmigt werden. In diesen Fällen ist die erforderliche Genehmigung binnen eines Monats nach Erteilung der vorläufigen Genehmigung zu beantragen. Wird die Genehmigung versagt, so kann dem Antragsteller in entsprechender Anwendung des § 9 eine angemessene Entschädigung gewährt werden, wenn es auch im Hinblick auf ein schutzwürdiges Vertrauen auf die bisherige Rechtslage eine unbillige Härte wäre, die Entschädigung zu versagen.</w:t>
      </w:r>
    </w:p>
    <w:p>
      <w:r>
        <w:t xml:space="preserve">(2) Für völkerrechtliche Vereinbarungen der Deutschen Demokratischen Republik, soweit sie die Lieferung oder die Instandhaltung von Kriegswaffen zum Gegenstand haben, gilt abweichend von § 27 folgendes:</w:t>
      </w:r>
    </w:p>
    <w:p>
      <w:pPr>
        <w:ind w:left="420"/>
      </w:pPr>
      <w:r>
        <w:t xml:space="preserve">1. Soweit vor dem Tage des Wirksamwerdens des Beitritts staatliche Aufträge zur Herstellung oder zur Ausfuhr in oder zur Einfuhr aus Mitgliedstaaten des Warschauer Vertrages für das Jahr 1990 angewiesen sind, gelten die zur Durchführung dieser Anweisungen erforderlichen, nach § 2 oder § 3 genehmigungsbedürftigen Handlungen als genehmigt.</w:t>
      </w:r>
    </w:p>
    <w:p>
      <w:pPr>
        <w:ind w:left="420"/>
      </w:pPr>
      <w:r>
        <w:t xml:space="preserve">2. Bei Anweisungen im Sinne der Nummer 1 in bezug auf Staaten, die nicht Mitgliedstaaten des Warschauer Vertrages sind, können genehmigungsbedürftige, aber unaufschiebbare Handlungen vorläufig genehmigt werden; Absatz 1 Satz 2 und 3 gilt entsprechend.</w:t>
      </w:r>
    </w:p>
    <w:p>
      <w:r>
        <w:t xml:space="preserve">(3) Für den Fall, daß die Deutsche Demokratische Republik ein Gesetz zur Inkraftsetzung dieses Gesetzes erläßt, wird das Bundesministerium für Wirtschaft und Energie ermächtigt, durch Rechtsverordnung ohne Zustimmung des Bundesrates die Maßgaben der Absätze 1 und 2 und des § 26a so zu ändern, daß deren Ziele unter Berücksichtigung der neuen Rechtslage erreicht werden.</w:t>
      </w:r>
    </w:p>
    <w:p>
      <w:r>
        <w:rPr>
          <w:color w:val="555555"/>
          <w:sz w:val="17"/>
        </w:rPr>
        <w:t xml:space="preserve">Zitiervorschlag: § 26b KrWaffKontrG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https://recht.nulegal.eu/gesetze/KrWaffKontrG/26b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