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26a KrWaffKontrG — Anzeige der Ausübung der tatsächlichen Gewalt</w:t>
      </w:r>
    </w:p>
    <w:p>
      <w:r>
        <w:rPr>
          <w:color w:val="555555"/>
          <w:sz w:val="18"/>
        </w:rPr>
        <w:t xml:space="preserve">Gesetz über die Kontrolle von Kriegswaffen</w:t>
      </w:r>
    </w:p>
    <w:p>
      <w:r>
        <w:rPr>
          <w:color w:val="555555"/>
          <w:sz w:val="18"/>
        </w:rPr>
        <w:t xml:space="preserve">Stand: 10.06.2019 (konsolidierte Textfassung, kein amtliches Inkrafttretensdatum)</w:t>
      </w:r>
    </w:p>
    <w:p>
      <w:r>
        <w:t xml:space="preserve">Wer am Tage des Wirksamwerdens des Beitritts in dem in Artikel 3 des Einigungsvertrages genannten Gebiet die tatsächliche Gewalt über Kriegswaffen ausübt, die er zuvor erlangt hat, hat dies dem Bundesamt für Wirtschaft und Ausfuhrkontrolle (BAFA) unter Angabe von Waffenart, Stückzahl, Waffennummer oder sonstiger Kennzeichnung binnen zwei Monaten nach dem Wirksamwerden des Beitritts anzuzeigen, sofern er nicht von dem Genehmigungserfordernis für den Erwerb der tatsächlichen Gewalt freigestellt oder nach § 26b angewiesen ist. Nach Ablauf dieser Frist darf die tatsächliche Gewalt über anmeldepflichtige, jedoch nicht angemeldete Kriegswaffen nicht mehr ausgeübt werden.</w:t>
      </w:r>
    </w:p>
    <w:p>
      <w:r>
        <w:rPr>
          <w:color w:val="555555"/>
          <w:sz w:val="17"/>
        </w:rPr>
        <w:t xml:space="preserve">Zitiervorschlag: § 26a KrWaffKontrG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https://recht.nulegal.eu/gesetze/KrWaffKontrG/26a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