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KrWaffKontrG — Vor Inkrafttreten des Gesetzes erteilte Genehmigungen</w:t>
      </w:r>
    </w:p>
    <w:p>
      <w:r>
        <w:rPr>
          <w:color w:val="555555"/>
          <w:sz w:val="18"/>
        </w:rPr>
        <w:t xml:space="preserve">Gesetz über die Kontrolle von Kriegswaffen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Genehmigungen, die im vorläufigen Genehmigungsverfahren auf Grund des Artikels 26 Abs. 2 des Grundgesetzes erteilt worden sind, gelten als nach diesem Gesetz erteilt.</w:t>
      </w:r>
    </w:p>
    <w:p>
      <w:r>
        <w:rPr>
          <w:color w:val="555555"/>
          <w:sz w:val="17"/>
        </w:rPr>
        <w:t xml:space="preserve">Zitiervorschlag: § 26 KrWaffKontrG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https://recht.nulegal.eu/gesetze/KrWaffKontrG/26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