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KrWaffKontrG — Herstellung und Inverkehrbringen</w:t>
      </w:r>
    </w:p>
    <w:p>
      <w:r>
        <w:rPr>
          <w:color w:val="555555"/>
          <w:sz w:val="18"/>
        </w:rPr>
        <w:t xml:space="preserve">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Kriegswaffen herstellen will, bedarf der Genehmigung.</w:t>
      </w:r>
    </w:p>
    <w:p>
      <w:r>
        <w:t xml:space="preserve">(2) Wer die tatsächliche Gewalt über Kriegswaffen von einem anderen erwerben oder einem anderen überlassen will, bedarf der Genehmigung.</w:t>
      </w:r>
    </w:p>
    <w:p>
      <w:r>
        <w:rPr>
          <w:color w:val="555555"/>
          <w:sz w:val="17"/>
        </w:rPr>
        <w:t xml:space="preserve">Zitiervorschlag: § 2 KrWaffKontrG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https://recht.nulegal.eu/gesetze/KrWaffKontrG/2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