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13a KrWaffKontrG — Umgang mit unbrauchbar gemachten Kriegswaffen</w:t>
      </w:r>
    </w:p>
    <w:p>
      <w:r>
        <w:rPr>
          <w:color w:val="555555"/>
          <w:sz w:val="18"/>
        </w:rPr>
        <w:t xml:space="preserve">Gesetz über die Kontrolle von Kriegswaffen</w:t>
      </w:r>
    </w:p>
    <w:p>
      <w:r>
        <w:rPr>
          <w:color w:val="555555"/>
          <w:sz w:val="18"/>
        </w:rPr>
        <w:t xml:space="preserve">Stand: 10.06.2019 (konsolidierte Textfassung, kein amtliches Inkrafttretensdatum)</w:t>
      </w:r>
    </w:p>
    <w:p>
      <w:r>
        <w:t xml:space="preserve">Der Umgang mit unbrauchbar gemachten Kriegswaffen kann durch Rechtsverordnung des Bundesministeriums für Wirtschaft und Energie, die der Zustimmung des Bundesrates nicht bedarf, beschränkt werden; insbesondere kann der Umgang verboten oder unter Genehmigungsvorbehalt gestellt werden. Unbrauchbar gemachte Kriegswaffen sind Kriegswaffen, die durch technische Veränderungen endgültig die Fähigkeit zum bestimmungsgemäßen Einsatz verloren haben und nicht mit allgemein gebräuchlichen Werkzeugen wieder funktionsfähig gemacht werden können. Durch Rechtsverordnung, die der Zustimmung des Bundesrates nicht bedarf, kann bestimmt werden, auf welche Weise Kriegswaffen unbrauchbar zu machen sind und in welcher Form ihre Unbrauchbarmachung nachzuweisen ist.</w:t>
      </w:r>
    </w:p>
    <w:p>
      <w:r>
        <w:rPr>
          <w:color w:val="555555"/>
          <w:sz w:val="17"/>
        </w:rPr>
        <w:t xml:space="preserve">Zitiervorschlag: § 13a KrWaffKontrG</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https://recht.nulegal.eu/gesetze/KrWaffKontrG/13a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