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KrWaffKontrG — Inhalt und Form der Genehmigung</w:t>
      </w:r>
    </w:p>
    <w:p>
      <w:r>
        <w:rPr>
          <w:color w:val="555555"/>
          <w:sz w:val="18"/>
        </w:rPr>
        <w:t xml:space="preserve">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kann inhaltlich beschränkt, befristet und mit Auflagen verbunden werden.</w:t>
      </w:r>
    </w:p>
    <w:p>
      <w:r>
        <w:t xml:space="preserve">(2) Nachträgliche Befristungen und Auflagen sind jederzeit zulässig. § 9 gilt entsprechend.</w:t>
      </w:r>
    </w:p>
    <w:p>
      <w:r>
        <w:t xml:space="preserve">(3) Die Genehmigung bedarf der Schriftform; sie muß Angaben über Art und Menge der Kriegswaffen enthalten. Die Genehmigung zur Herstellung der in Teil B der Kriegswaffenliste genannten Kriegswaffen kann ohne Beschränkung auf eine bestimmte Menge, die Genehmigung zur Beförderung von Kriegswaffen kann ohne Beschränkung auf eine bestimmte Art und Menge erteilt werden.</w:t>
      </w:r>
    </w:p>
    <w:p>
      <w:r>
        <w:rPr>
          <w:color w:val="555555"/>
          <w:sz w:val="17"/>
        </w:rPr>
        <w:t xml:space="preserve">Zitiervorschlag: § 10 KrWaffKontrG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https://recht.nulegal.eu/gesetze/KrWaffKontrG/10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KrWaffKontrG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