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KrWaffGenV</w:t>
      </w:r>
    </w:p>
    <w:p>
      <w:r>
        <w:rPr>
          <w:color w:val="555555"/>
          <w:sz w:val="18"/>
        </w:rPr>
        <w:t xml:space="preserve">Kriegswaffengenehmigungsverordnung</w:t>
      </w:r>
    </w:p>
    <w:p>
      <w:r>
        <w:rPr>
          <w:color w:val="555555"/>
          <w:sz w:val="18"/>
        </w:rPr>
        <w:t xml:space="preserve">Stand: 08.09.2026 (konsolidierte Textfassung, kein amtliches Inkrafttretensdatum)</w:t>
      </w:r>
    </w:p>
    <w:p>
      <w:r>
        <w:t xml:space="preserve">Die Beförderung von Kriegswaffen mit Seeschiffen, die die Bundesflagge führen, oder mit Luftfahrzeugen, die in die Luftfahrzeugrolle der Bundesrepublik eingetragen sind, wird allgemein genehmigt, soweit die Kriegswaffen außerhalb des Bundesgebietes eingeladen, durch das Bundesgebiet nicht durchgeführt und in einem der in § 1 Absatz 1 genannten Staaten oder in der Ukraine, soweit sie zum Verbleib bei staatlichen Stellen der Ukraine bestimmt sind, ausgeladen werden.</w:t>
      </w:r>
    </w:p>
    <w:p>
      <w:r>
        <w:rPr>
          <w:color w:val="555555"/>
          <w:sz w:val="17"/>
        </w:rPr>
        <w:t xml:space="preserve">Zitiervorschlag: § 3 KrWaffGenV</w:t>
      </w:r>
    </w:p>
    <w:p>
      <w:r>
        <w:rPr>
          <w:color w:val="555555"/>
          <w:sz w:val="17"/>
        </w:rPr>
        <w:t xml:space="preserve">Quelle: Bundesamt für Justiz, abgerufen 08.09.2026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https://recht.nulegal.eu/gesetze/KrWaffGenV/3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