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1c KrWaffGenV</w:t>
      </w:r>
    </w:p>
    <w:p>
      <w:r>
        <w:rPr>
          <w:color w:val="555555"/>
          <w:sz w:val="18"/>
        </w:rPr>
        <w:t xml:space="preserve">Verordnung über Allgemeine Genehmigungen nach dem Gesetz über die Kontrolle von Kriegswaffen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Beförderung von Kriegswaffen innerhalb des Bundesgebietes wird eine Allgemeine Genehmigung erteilt, soweit der Versender und der Empfänger im Bundesgebiet ansässige Unternehmen sind, die gemäß § 9 des Außenwirtschaftsgesetzes in Verbindung mit einer auf Grund dieser Vorschrift erlassenen Rechtsverordnung zertifiziert sind.</w:t>
      </w:r>
    </w:p>
    <w:p>
      <w:r>
        <w:rPr>
          <w:color w:val="555555"/>
          <w:sz w:val="17"/>
        </w:rPr>
        <w:t xml:space="preserve">Zitiervorschlag: § 1c KrWaffGenV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https://recht.nulegal.eu/gesetze/KrWaffGenV/1c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