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KrWaffGenV</w:t>
      </w:r>
    </w:p>
    <w:p>
      <w:r>
        <w:rPr>
          <w:color w:val="555555"/>
          <w:sz w:val="18"/>
        </w:rPr>
        <w:t xml:space="preserve">Kriegswaffengenehmigungsverordnung</w:t>
      </w:r>
    </w:p>
    <w:p>
      <w:r>
        <w:rPr>
          <w:color w:val="555555"/>
          <w:sz w:val="18"/>
        </w:rPr>
        <w:t xml:space="preserve">Stand: 08.09.2026 (konsolidierte Textfassung, kein amtliches Inkrafttretensdatum)</w:t>
      </w:r>
    </w:p>
    <w:p>
      <w:r>
        <w:t xml:space="preserve">(1) Für die Beförderung von Kriegswaffen zum Zweck der Einfuhr in das Bundesgebiet wird eine Allgemeine Genehmigung erteilt, soweit die Kriegswaffen auf Grund einer Verbringungsgenehmigung aus einem Mitgliedstaat der Europäischen Union versandt werden und Empfänger dieser Kriegswaffen ein im Bundesgebiet ansässiges Unternehmen ist, das gemäß § 9 des Außenwirtschaftsgesetzes in Verbindung mit einer auf Grund dieser Vorschrift erlassenen Rechtsverordnung zertifiziert ist.</w:t>
      </w:r>
    </w:p>
    <w:p>
      <w:r>
        <w:t xml:space="preserve">(2) Für die Beförderung von Kriegswaffen mit Ausnahme der Nummern 29, 30, 50 oder 51 der Kriegswaffenliste zum Zweck der Einfuhr in das Bundesgebiet wird eine Allgemeine Genehmigung erteilt, soweit die Kriegswaffen auf Grund einer Ausfuhrgenehmigung aus Norwegen, der Schweiz oder dem Vereinigten Königreich versandt werden und Empfänger dieser Kriegswaffen ein im Bundesgebiet ansässiges Unternehmen ist, das gemäß § 9 des Außenwirtschaftsgesetzes in Verbindung mit einer auf Grund dieser Vorschrift erlassenen Rechtsverordnung zertifiziert ist.</w:t>
      </w:r>
    </w:p>
    <w:p>
      <w:r>
        <w:rPr>
          <w:color w:val="555555"/>
          <w:sz w:val="17"/>
        </w:rPr>
        <w:t xml:space="preserve">Zitiervorschlag: § 1b KrWaffGenV</w:t>
      </w:r>
    </w:p>
    <w:p>
      <w:r>
        <w:rPr>
          <w:color w:val="555555"/>
          <w:sz w:val="17"/>
        </w:rPr>
        <w:t xml:space="preserve">Quelle: Bundesamt für Justiz, abgerufen 08.09.2026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https://recht.nulegal.eu/gesetze/KrWaffGenV/1b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