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KrWaffGenV</w:t>
      </w:r>
    </w:p>
    <w:p>
      <w:r>
        <w:rPr>
          <w:color w:val="555555"/>
          <w:sz w:val="18"/>
        </w:rPr>
        <w:t xml:space="preserve">Kriegswaffengenehmigungsverordnung</w:t>
      </w:r>
    </w:p>
    <w:p>
      <w:r>
        <w:rPr>
          <w:color w:val="555555"/>
          <w:sz w:val="18"/>
        </w:rPr>
        <w:t xml:space="preserve">Stand: 08.09.2026 (konsolidierte Textfassung, kein amtliches Inkrafttretensdatum)</w:t>
      </w:r>
    </w:p>
    <w:p>
      <w:r>
        <w:t xml:space="preserve">Für die Beförderung von Kriegswaffen zum Zweck der Einfuhr in das Bundesgebiet wird eine Allgemeine Genehmigung erteilt, soweit Empfänger der Kriegswaffen die Bundeswehr ist.</w:t>
      </w:r>
    </w:p>
    <w:p>
      <w:r>
        <w:rPr>
          <w:color w:val="555555"/>
          <w:sz w:val="17"/>
        </w:rPr>
        <w:t xml:space="preserve">Zitiervorschlag: § 1a KrWaffGenV</w:t>
      </w:r>
    </w:p>
    <w:p>
      <w:r>
        <w:rPr>
          <w:color w:val="555555"/>
          <w:sz w:val="17"/>
        </w:rPr>
        <w:t xml:space="preserve">Quelle: Bundesamt für Justiz, abgerufen 08.09.2026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https://recht.nulegal.eu/gesetze/KrWaffGenV/1a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