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KrWaffGenV</w:t>
      </w:r>
    </w:p>
    <w:p>
      <w:r>
        <w:rPr>
          <w:color w:val="555555"/>
          <w:sz w:val="18"/>
        </w:rPr>
        <w:t xml:space="preserve">Kriegswaffengenehmigungsverordnung</w:t>
      </w:r>
    </w:p>
    <w:p>
      <w:r>
        <w:rPr>
          <w:color w:val="555555"/>
          <w:sz w:val="18"/>
        </w:rPr>
        <w:t xml:space="preserve">Stand: 08.09.2026 (konsolidierte Textfassung, kein amtliches Inkrafttretensdatum)</w:t>
      </w:r>
    </w:p>
    <w:p>
      <w:r>
        <w:t xml:space="preserve">(1) Für die Beförderung von Kriegswaffen durch das Bundesgebiet wird eine Allgemeine Genehmigung erteilt, soweit die Kriegswaffen aus einem Mitgliedstaat der Europäischen Union, aus einem Mitgliedstaat der NATO, Australien, Japan, Neuseeland oder der Schweiz auf Grund einer Genehmigung eines dieser Staaten versandt werden und die Kriegswaffen zum Verbleib in einem Mitgliedstaat der Europäischen Union, einem Mitgliedstaat der NATO, Australien, Japan, Neuseeland, der Schweiz oder bei staatlichen Stellen der Ukraine bestimmt sind.</w:t>
      </w:r>
    </w:p>
    <w:p>
      <w:r>
        <w:t xml:space="preserve">(2) Der Versender hat dem Bundesministerium für Wirtschaft und Energie innerhalb von zwei Wochen nach einer Durchfuhr von Kriegswaffen durch das Bundesgebiet an staatliche Stellen der Ukraine die Stückzahl, Typenbezeichnung und das Herkunftsland der Kriegswaffen anzuzeigen.</w:t>
      </w:r>
    </w:p>
    <w:p>
      <w:r>
        <w:rPr>
          <w:color w:val="555555"/>
          <w:sz w:val="17"/>
        </w:rPr>
        <w:t xml:space="preserve">Zitiervorschlag: § 1 KrWaffGenV</w:t>
      </w:r>
    </w:p>
    <w:p>
      <w:r>
        <w:rPr>
          <w:color w:val="555555"/>
          <w:sz w:val="17"/>
        </w:rPr>
        <w:t xml:space="preserve">Quelle: Bundesamt für Justiz, abgerufen 08.09.2026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https://recht.nulegal.eu/gesetze/KrWaffGenV/1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